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-386080</wp:posOffset>
            </wp:positionV>
            <wp:extent cx="1047750" cy="1080135"/>
            <wp:effectExtent l="0" t="0" r="0" b="5715"/>
            <wp:wrapTight wrapText="bothSides">
              <wp:wrapPolygon>
                <wp:start x="0" y="0"/>
                <wp:lineTo x="0" y="21333"/>
                <wp:lineTo x="21207" y="21333"/>
                <wp:lineTo x="21207" y="0"/>
                <wp:lineTo x="0" y="0"/>
              </wp:wrapPolygon>
            </wp:wrapTight>
            <wp:docPr id="15" name="Slika 15" descr="logo-NOVA VER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logo-NOVA VERZ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theme="minorHAnsi"/>
          <w:b/>
          <w:sz w:val="22"/>
          <w:szCs w:val="22"/>
        </w:rPr>
      </w:pPr>
    </w:p>
    <w:p>
      <w:pPr>
        <w:rPr>
          <w:rFonts w:cstheme="minorHAnsi"/>
          <w:b/>
          <w:sz w:val="22"/>
          <w:szCs w:val="22"/>
        </w:rPr>
      </w:pPr>
    </w:p>
    <w:p>
      <w:pPr>
        <w:rPr>
          <w:rFonts w:cstheme="minorHAnsi"/>
          <w:b/>
          <w:sz w:val="22"/>
          <w:szCs w:val="22"/>
        </w:rPr>
      </w:pPr>
    </w:p>
    <w:p>
      <w:pPr>
        <w:rPr>
          <w:rFonts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OSNOVNA ŠKOLA BRODARICA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Gomljanik 100, 22000 Šibenik, OIB: 57942104056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 022 350 315, 022 351 208, fax.: 022 351 208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ured@os-brodarica.skole.hr</w:t>
      </w:r>
    </w:p>
    <w:p>
      <w:pPr>
        <w:rPr>
          <w:rFonts w:asciiTheme="minorHAnsi" w:hAnsiTheme="minorHAnsi"/>
        </w:rPr>
      </w:pPr>
    </w:p>
    <w:p>
      <w:pPr>
        <w:rPr>
          <w:rFonts w:hint="default"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</w:rPr>
        <w:t>KLASA: 40</w:t>
      </w:r>
      <w:r>
        <w:rPr>
          <w:rFonts w:hint="default" w:asciiTheme="minorHAnsi" w:hAnsiTheme="minorHAnsi"/>
          <w:sz w:val="22"/>
          <w:szCs w:val="22"/>
          <w:lang w:val="hr-HR"/>
        </w:rPr>
        <w:t>6</w:t>
      </w:r>
      <w:r>
        <w:rPr>
          <w:rFonts w:asciiTheme="minorHAnsi" w:hAnsiTheme="minorHAnsi"/>
          <w:sz w:val="22"/>
          <w:szCs w:val="22"/>
        </w:rPr>
        <w:t>-0</w:t>
      </w:r>
      <w:r>
        <w:rPr>
          <w:rFonts w:hint="default" w:asciiTheme="minorHAnsi" w:hAnsiTheme="minorHAnsi"/>
          <w:sz w:val="22"/>
          <w:szCs w:val="22"/>
          <w:lang w:val="hr-HR"/>
        </w:rPr>
        <w:t>7</w:t>
      </w:r>
      <w:r>
        <w:rPr>
          <w:rFonts w:asciiTheme="minorHAnsi" w:hAnsiTheme="minorHAnsi"/>
          <w:sz w:val="22"/>
          <w:szCs w:val="22"/>
        </w:rPr>
        <w:t>/2</w:t>
      </w:r>
      <w:r>
        <w:rPr>
          <w:rFonts w:hint="default" w:asciiTheme="minorHAnsi" w:hAnsiTheme="minorHAnsi"/>
          <w:sz w:val="22"/>
          <w:szCs w:val="22"/>
          <w:lang w:val="hr-HR"/>
        </w:rPr>
        <w:t>4</w:t>
      </w:r>
      <w:r>
        <w:rPr>
          <w:rFonts w:asciiTheme="minorHAnsi" w:hAnsiTheme="minorHAnsi"/>
          <w:sz w:val="22"/>
          <w:szCs w:val="22"/>
        </w:rPr>
        <w:t>-01/</w:t>
      </w:r>
      <w:r>
        <w:rPr>
          <w:rFonts w:hint="default" w:asciiTheme="minorHAnsi" w:hAnsiTheme="minorHAnsi"/>
          <w:sz w:val="22"/>
          <w:szCs w:val="22"/>
          <w:lang w:val="hr-HR"/>
        </w:rPr>
        <w:t>2</w:t>
      </w:r>
    </w:p>
    <w:p>
      <w:pPr>
        <w:rPr>
          <w:rFonts w:hint="default"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</w:rPr>
        <w:t>URBROJ: 2182-</w:t>
      </w:r>
      <w:r>
        <w:rPr>
          <w:rFonts w:hint="default" w:asciiTheme="minorHAnsi" w:hAnsiTheme="minorHAnsi"/>
          <w:sz w:val="22"/>
          <w:szCs w:val="22"/>
          <w:lang w:val="hr-HR"/>
        </w:rPr>
        <w:t>1-60-24-1</w:t>
      </w:r>
    </w:p>
    <w:p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Šibenik, </w:t>
      </w:r>
      <w:r>
        <w:rPr>
          <w:rFonts w:hint="default" w:asciiTheme="minorHAnsi" w:hAnsiTheme="minorHAnsi"/>
          <w:sz w:val="22"/>
          <w:szCs w:val="22"/>
          <w:lang w:val="hr-HR"/>
        </w:rPr>
        <w:t>11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hint="default" w:asciiTheme="minorHAnsi" w:hAnsiTheme="minorHAnsi"/>
          <w:sz w:val="22"/>
          <w:szCs w:val="22"/>
          <w:lang w:val="hr-HR"/>
        </w:rPr>
        <w:t>01</w:t>
      </w:r>
      <w:r>
        <w:rPr>
          <w:rFonts w:asciiTheme="minorHAnsi" w:hAnsiTheme="minorHAnsi"/>
          <w:sz w:val="22"/>
          <w:szCs w:val="22"/>
        </w:rPr>
        <w:t>. 202</w:t>
      </w:r>
      <w:r>
        <w:rPr>
          <w:rFonts w:hint="default" w:asciiTheme="minorHAnsi" w:hAnsiTheme="minorHAnsi"/>
          <w:sz w:val="22"/>
          <w:szCs w:val="22"/>
          <w:lang w:val="hr-HR"/>
        </w:rPr>
        <w:t>4</w:t>
      </w:r>
      <w:r>
        <w:rPr>
          <w:rFonts w:asciiTheme="minorHAnsi" w:hAnsiTheme="minorHAnsi"/>
          <w:sz w:val="22"/>
          <w:szCs w:val="22"/>
        </w:rPr>
        <w:t>.</w:t>
      </w:r>
    </w:p>
    <w:p>
      <w:pPr>
        <w:rPr>
          <w:sz w:val="20"/>
          <w:szCs w:val="20"/>
        </w:rPr>
      </w:pPr>
    </w:p>
    <w:p>
      <w:pPr>
        <w:rPr>
          <w:rFonts w:asciiTheme="minorHAnsi" w:hAnsiTheme="minorHAnsi"/>
        </w:rPr>
      </w:pPr>
      <w:r>
        <w:rPr>
          <w:rFonts w:cs="Arial" w:asciiTheme="minorHAnsi" w:hAnsiTheme="minorHAnsi"/>
        </w:rPr>
        <w:t xml:space="preserve">           Na temelju čl.28 Zakona o javnoj nabavi ("NN" br. 120/16</w:t>
      </w:r>
      <w:r>
        <w:rPr>
          <w:rFonts w:hint="default" w:cs="Arial" w:asciiTheme="minorHAnsi" w:hAnsiTheme="minorHAnsi"/>
          <w:lang w:val="hr-HR"/>
        </w:rPr>
        <w:t>,114/22</w:t>
      </w:r>
      <w:r>
        <w:rPr>
          <w:rFonts w:cs="Arial" w:asciiTheme="minorHAnsi" w:hAnsiTheme="minorHAnsi"/>
        </w:rPr>
        <w:t>), Uredbe o postupku nabave roba, radova i usluga male vrijednosti ("NN" br. 14/02) i članka 58. Statuta Osnovne škole Brodarica, Šibenik,</w:t>
      </w:r>
      <w:r>
        <w:rPr>
          <w:rFonts w:hint="default" w:cs="Arial" w:asciiTheme="minorHAnsi" w:hAnsiTheme="minorHAnsi"/>
          <w:lang w:val="hr-HR"/>
        </w:rPr>
        <w:t xml:space="preserve">a na prijedlog ravnateljice Maje Morić Kulušić, </w:t>
      </w:r>
      <w:r>
        <w:rPr>
          <w:rFonts w:cs="Arial" w:asciiTheme="minorHAnsi" w:hAnsiTheme="minorHAnsi"/>
          <w:lang w:val="hr-HR"/>
        </w:rPr>
        <w:t>Š</w:t>
      </w:r>
      <w:r>
        <w:rPr>
          <w:rFonts w:hint="default" w:cs="Arial" w:asciiTheme="minorHAnsi" w:hAnsiTheme="minorHAnsi"/>
          <w:lang w:val="hr-HR"/>
        </w:rPr>
        <w:t>kolski odbor na sjednici održanoj 15. siječnja 2024. donosi</w:t>
      </w:r>
      <w:r>
        <w:rPr>
          <w:rFonts w:asciiTheme="minorHAnsi" w:hAnsiTheme="minorHAnsi"/>
        </w:rPr>
        <w:t xml:space="preserve"> </w:t>
      </w:r>
    </w:p>
    <w:p>
      <w:pPr>
        <w:rPr>
          <w:sz w:val="20"/>
          <w:szCs w:val="20"/>
        </w:rPr>
      </w:pPr>
    </w:p>
    <w:p>
      <w:pPr>
        <w:jc w:val="center"/>
        <w:rPr>
          <w:b/>
        </w:rPr>
      </w:pPr>
      <w:r>
        <w:rPr>
          <w:b/>
        </w:rPr>
        <w:t>PLAN NABAVE ZA 202</w:t>
      </w:r>
      <w:r>
        <w:rPr>
          <w:rFonts w:hint="default"/>
          <w:b/>
          <w:lang w:val="hr-HR"/>
        </w:rPr>
        <w:t>4</w:t>
      </w:r>
      <w:r>
        <w:rPr>
          <w:b/>
        </w:rPr>
        <w:t>. GODINU</w:t>
      </w:r>
    </w:p>
    <w:p>
      <w:pPr>
        <w:jc w:val="center"/>
        <w:rPr>
          <w:b/>
          <w:sz w:val="20"/>
          <w:szCs w:val="20"/>
        </w:rPr>
      </w:pPr>
    </w:p>
    <w:tbl>
      <w:tblPr>
        <w:tblStyle w:val="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276"/>
        <w:gridCol w:w="1276"/>
        <w:gridCol w:w="1417"/>
        <w:gridCol w:w="1559"/>
        <w:gridCol w:w="1701"/>
        <w:gridCol w:w="1276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3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>RB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18"/>
                <w:szCs w:val="18"/>
              </w:rPr>
            </w:pPr>
            <w:r>
              <w:rPr>
                <w:color w:val="17375E" w:themeColor="text2" w:themeShade="BF"/>
                <w:sz w:val="18"/>
                <w:szCs w:val="18"/>
              </w:rPr>
              <w:t>RAČUN</w:t>
            </w:r>
          </w:p>
        </w:tc>
        <w:tc>
          <w:tcPr>
            <w:tcW w:w="1276" w:type="dxa"/>
            <w:shd w:val="clear" w:color="auto" w:fill="F1F1F1" w:themeFill="background1" w:themeFillShade="F2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</w:p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</w:p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>CPV</w:t>
            </w:r>
          </w:p>
        </w:tc>
        <w:tc>
          <w:tcPr>
            <w:tcW w:w="1276" w:type="dxa"/>
            <w:shd w:val="clear" w:color="auto" w:fill="F1F1F1" w:themeFill="background1" w:themeFillShade="F2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</w:p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</w:p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>Eviden.broj nabave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>NAZIV PREDMETA NABAVE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</w:p>
          <w:p>
            <w:pPr>
              <w:jc w:val="center"/>
              <w:rPr>
                <w:color w:val="17375E" w:themeColor="text2" w:themeShade="BF"/>
                <w:sz w:val="18"/>
                <w:szCs w:val="18"/>
              </w:rPr>
            </w:pPr>
            <w:r>
              <w:rPr>
                <w:color w:val="17375E" w:themeColor="text2" w:themeShade="BF"/>
                <w:sz w:val="18"/>
                <w:szCs w:val="18"/>
              </w:rPr>
              <w:t>PROCIJENJENA VRIJEDNOST NABAVE</w:t>
            </w:r>
          </w:p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>PROCIJENJENA VRIJEDNOST NABAVE</w:t>
            </w:r>
          </w:p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>( s pdv-om)</w:t>
            </w:r>
          </w:p>
        </w:tc>
        <w:tc>
          <w:tcPr>
            <w:tcW w:w="127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18"/>
                <w:szCs w:val="18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75E" w:themeColor="text2" w:themeShade="BF"/>
                <w:sz w:val="18"/>
                <w:szCs w:val="18"/>
              </w:rPr>
              <w:t>NAČIN NABAVE</w:t>
            </w:r>
          </w:p>
        </w:tc>
        <w:tc>
          <w:tcPr>
            <w:tcW w:w="1701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20"/>
                <w:szCs w:val="20"/>
              </w:rPr>
            </w:pPr>
            <w:r>
              <w:rPr>
                <w:color w:val="17375E" w:themeColor="text2" w:themeShade="BF"/>
                <w:sz w:val="20"/>
                <w:szCs w:val="20"/>
              </w:rPr>
              <w:t xml:space="preserve">SKLAPA LI SE UGOVOR ILI </w:t>
            </w:r>
            <w:r>
              <w:rPr>
                <w:color w:val="17375E" w:themeColor="text2" w:themeShade="BF"/>
                <w:sz w:val="18"/>
                <w:szCs w:val="18"/>
              </w:rPr>
              <w:t>NARUDŽBENICA</w:t>
            </w: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16"/>
                <w:szCs w:val="16"/>
              </w:rPr>
            </w:pPr>
            <w:r>
              <w:rPr>
                <w:color w:val="17375E" w:themeColor="text2" w:themeShade="BF"/>
                <w:sz w:val="16"/>
                <w:szCs w:val="16"/>
              </w:rPr>
              <w:t>TRAJANJE UGOVORA</w:t>
            </w:r>
          </w:p>
        </w:tc>
        <w:tc>
          <w:tcPr>
            <w:tcW w:w="1843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color w:val="17375E" w:themeColor="text2" w:themeShade="BF"/>
                <w:sz w:val="18"/>
                <w:szCs w:val="18"/>
              </w:rPr>
            </w:pPr>
            <w:r>
              <w:rPr>
                <w:color w:val="17375E" w:themeColor="text2" w:themeShade="BF"/>
                <w:sz w:val="18"/>
                <w:szCs w:val="18"/>
              </w:rPr>
              <w:t>IZVOR FINANCIRANJA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80522000-9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   1-202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Službena putovanja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9,984,00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12.480,00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>7.030,00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5</w:t>
            </w:r>
            <w:r>
              <w:rPr>
                <w:sz w:val="20"/>
                <w:szCs w:val="20"/>
              </w:rPr>
              <w:t>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   4.000,00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150,00 -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2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1.3</w:t>
            </w:r>
            <w:r>
              <w:rPr>
                <w:rFonts w:hint="default"/>
                <w:sz w:val="20"/>
                <w:szCs w:val="20"/>
                <w:lang w:val="hr-HR"/>
              </w:rPr>
              <w:t>00</w:t>
            </w:r>
            <w:r>
              <w:rPr>
                <w:sz w:val="20"/>
                <w:szCs w:val="20"/>
              </w:rPr>
              <w:t xml:space="preserve">,00 -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3213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3158"/>
                <w:spacing w:val="0"/>
                <w:sz w:val="20"/>
                <w:szCs w:val="20"/>
                <w:shd w:val="clear" w:fill="FFFFFF"/>
              </w:rPr>
              <w:t>80522000-9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2-2024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Stručno usavršavanje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  1.000,00 - 54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  4.000,00 - 56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00" w:firstLineChars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22800000-8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2.960,00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3.700,00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>1.900</w:t>
            </w:r>
            <w:r>
              <w:rPr>
                <w:sz w:val="20"/>
                <w:szCs w:val="20"/>
              </w:rPr>
              <w:t xml:space="preserve">,00 - 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default"/>
                <w:sz w:val="20"/>
                <w:szCs w:val="20"/>
                <w:lang w:val="hr-HR"/>
              </w:rPr>
              <w:t>500</w:t>
            </w:r>
            <w:r>
              <w:rPr>
                <w:sz w:val="20"/>
                <w:szCs w:val="20"/>
              </w:rPr>
              <w:t xml:space="preserve">,00 - 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default"/>
                <w:sz w:val="20"/>
                <w:szCs w:val="20"/>
                <w:lang w:val="hr-HR"/>
              </w:rPr>
              <w:t>500</w:t>
            </w:r>
            <w:r>
              <w:rPr>
                <w:sz w:val="20"/>
                <w:szCs w:val="20"/>
              </w:rPr>
              <w:t xml:space="preserve">,00 - 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  800</w:t>
            </w:r>
            <w:r>
              <w:rPr>
                <w:sz w:val="20"/>
                <w:szCs w:val="20"/>
              </w:rPr>
              <w:t xml:space="preserve">,00  -  </w:t>
            </w:r>
            <w:r>
              <w:rPr>
                <w:rFonts w:hint="default"/>
                <w:sz w:val="20"/>
                <w:szCs w:val="20"/>
                <w:lang w:val="hr-HR"/>
              </w:rPr>
              <w:t>6</w:t>
            </w: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4" w:type="dxa"/>
            <w:vAlign w:val="center"/>
          </w:tcPr>
          <w:p>
            <w:pPr>
              <w:ind w:firstLine="100" w:firstLineChars="50"/>
              <w:jc w:val="both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4.</w:t>
            </w:r>
          </w:p>
        </w:tc>
        <w:tc>
          <w:tcPr>
            <w:tcW w:w="850" w:type="dxa"/>
            <w:vAlign w:val="center"/>
          </w:tcPr>
          <w:p>
            <w:pPr>
              <w:ind w:firstLine="100" w:firstLineChars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32214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39830000-9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4</w:t>
            </w:r>
            <w:r>
              <w:rPr>
                <w:sz w:val="20"/>
                <w:szCs w:val="20"/>
              </w:rPr>
              <w:t>-2023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i sredstva za čišćenje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2.600,00 -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32216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33760000-5</w:t>
            </w: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Higijenski materijal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1.600,00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2.000,00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03222000-3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6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i sirovine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4.240,00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5.300,00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default"/>
                <w:sz w:val="20"/>
                <w:szCs w:val="20"/>
                <w:lang w:val="hr-HR"/>
              </w:rPr>
              <w:t>300</w:t>
            </w:r>
            <w:r>
              <w:rPr>
                <w:sz w:val="20"/>
                <w:szCs w:val="20"/>
              </w:rPr>
              <w:t xml:space="preserve">,00 -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4.000</w:t>
            </w:r>
            <w:r>
              <w:rPr>
                <w:sz w:val="20"/>
                <w:szCs w:val="20"/>
              </w:rPr>
              <w:t xml:space="preserve">,00 </w:t>
            </w:r>
            <w:r>
              <w:rPr>
                <w:rFonts w:hint="default"/>
                <w:sz w:val="20"/>
                <w:szCs w:val="20"/>
                <w:lang w:val="hr-HR"/>
              </w:rPr>
              <w:t>- 5</w:t>
            </w:r>
            <w:r>
              <w:rPr>
                <w:sz w:val="20"/>
                <w:szCs w:val="20"/>
              </w:rPr>
              <w:t>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1.000</w:t>
            </w:r>
            <w:r>
              <w:rPr>
                <w:sz w:val="20"/>
                <w:szCs w:val="20"/>
              </w:rPr>
              <w:t>,00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1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65300000-6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09135000-4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7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Energija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8.800,00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   11.</w:t>
            </w:r>
            <w:r>
              <w:rPr>
                <w:rFonts w:hint="default"/>
                <w:sz w:val="20"/>
                <w:szCs w:val="20"/>
                <w:lang w:val="hr-HR"/>
              </w:rPr>
              <w:t>000,00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Nabavu lož ulja provodi osnivač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Ugovor/osnivač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 11.</w:t>
            </w:r>
            <w:r>
              <w:rPr>
                <w:rFonts w:hint="default"/>
                <w:sz w:val="20"/>
                <w:szCs w:val="20"/>
                <w:lang w:val="hr-HR"/>
              </w:rPr>
              <w:t>000</w:t>
            </w:r>
            <w:r>
              <w:rPr>
                <w:sz w:val="20"/>
                <w:szCs w:val="20"/>
              </w:rPr>
              <w:t xml:space="preserve">,00  - </w:t>
            </w:r>
            <w:r>
              <w:rPr>
                <w:rFonts w:hint="default"/>
                <w:sz w:val="20"/>
                <w:szCs w:val="20"/>
                <w:lang w:val="hr-H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64000000-6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8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default"/>
                <w:sz w:val="20"/>
                <w:szCs w:val="20"/>
                <w:lang w:val="hr-HR"/>
              </w:rPr>
              <w:t>2.800,00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3.</w:t>
            </w:r>
            <w:r>
              <w:rPr>
                <w:rFonts w:hint="default"/>
                <w:sz w:val="20"/>
                <w:szCs w:val="20"/>
                <w:lang w:val="hr-HR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3.000</w:t>
            </w:r>
            <w:r>
              <w:rPr>
                <w:sz w:val="20"/>
                <w:szCs w:val="20"/>
              </w:rPr>
              <w:t xml:space="preserve">,00 –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>300</w:t>
            </w:r>
            <w:r>
              <w:rPr>
                <w:sz w:val="20"/>
                <w:szCs w:val="20"/>
              </w:rPr>
              <w:t xml:space="preserve">,00 -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2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  200,00 - 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50000000-5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9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3.680,00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4.600,00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4.600,00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3234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65000000-3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10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Komunalne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6.880,00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8.600,00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default"/>
                <w:sz w:val="20"/>
                <w:szCs w:val="20"/>
                <w:lang w:val="hr-HR"/>
              </w:rPr>
              <w:t>600</w:t>
            </w:r>
            <w:r>
              <w:rPr>
                <w:sz w:val="20"/>
                <w:szCs w:val="20"/>
              </w:rPr>
              <w:t xml:space="preserve">,00 -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default"/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79990000-0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2.720,0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3.400,00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>2.400,00</w:t>
            </w:r>
            <w:r>
              <w:rPr>
                <w:sz w:val="20"/>
                <w:szCs w:val="20"/>
              </w:rPr>
              <w:t xml:space="preserve"> - 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1.000</w:t>
            </w:r>
            <w:r>
              <w:rPr>
                <w:sz w:val="20"/>
                <w:szCs w:val="20"/>
              </w:rPr>
              <w:t xml:space="preserve">,00 </w:t>
            </w:r>
            <w:r>
              <w:rPr>
                <w:rFonts w:hint="default"/>
                <w:sz w:val="20"/>
                <w:szCs w:val="20"/>
                <w:lang w:val="hr-HR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5</w:t>
            </w:r>
            <w:r>
              <w:rPr>
                <w:sz w:val="20"/>
                <w:szCs w:val="20"/>
              </w:rPr>
              <w:t>6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rFonts w:hint="default"/>
                <w:sz w:val="20"/>
                <w:szCs w:val="20"/>
                <w:lang w:val="hr-HR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72311300-1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 12-202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najma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2.160,00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2.700,00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default"/>
                <w:sz w:val="20"/>
                <w:szCs w:val="20"/>
                <w:lang w:val="hr-HR"/>
              </w:rPr>
              <w:t>2.700,00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13.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3236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4D5156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4D5156"/>
                <w:spacing w:val="0"/>
                <w:sz w:val="20"/>
                <w:szCs w:val="20"/>
                <w:shd w:val="clear" w:fill="FFFFFF"/>
              </w:rPr>
              <w:t> 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4D5156"/>
                <w:spacing w:val="0"/>
                <w:sz w:val="20"/>
                <w:szCs w:val="20"/>
                <w:shd w:val="clear" w:fill="FFFFFF"/>
              </w:rPr>
              <w:t>85100000-0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   </w:t>
            </w:r>
          </w:p>
          <w:p>
            <w:pPr>
              <w:ind w:firstLine="100" w:firstLineChars="50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 13-2024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Zdravstvene usluge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2.400,00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3.000,00-54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15812000-3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7.680,00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9.600,00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J</w:t>
            </w:r>
            <w:r>
              <w:rPr>
                <w:rFonts w:hint="default"/>
                <w:sz w:val="20"/>
                <w:szCs w:val="20"/>
                <w:lang w:val="hr-HR"/>
              </w:rPr>
              <w:t>avna 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/ 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default"/>
                <w:sz w:val="20"/>
                <w:szCs w:val="20"/>
                <w:lang w:val="hr-HR"/>
              </w:rPr>
              <w:t>400</w:t>
            </w:r>
            <w:r>
              <w:rPr>
                <w:sz w:val="20"/>
                <w:szCs w:val="20"/>
              </w:rPr>
              <w:t xml:space="preserve">,00 </w:t>
            </w:r>
            <w:r>
              <w:rPr>
                <w:rFonts w:hint="default"/>
                <w:sz w:val="20"/>
                <w:szCs w:val="20"/>
                <w:lang w:val="hr-HR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default"/>
                <w:sz w:val="20"/>
                <w:szCs w:val="20"/>
                <w:lang w:val="hr-HR"/>
              </w:rPr>
              <w:t>6.000,00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-</w:t>
            </w:r>
            <w:r>
              <w:rPr>
                <w:sz w:val="20"/>
                <w:szCs w:val="20"/>
              </w:rPr>
              <w:t xml:space="preserve"> 445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1.500,00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1.300,00 </w:t>
            </w:r>
            <w:r>
              <w:rPr>
                <w:rFonts w:hint="default"/>
                <w:sz w:val="20"/>
                <w:szCs w:val="20"/>
                <w:lang w:val="hr-HR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400,00 </w:t>
            </w:r>
            <w:r>
              <w:rPr>
                <w:rFonts w:hint="default"/>
                <w:sz w:val="20"/>
                <w:szCs w:val="20"/>
                <w:lang w:val="hr-HR"/>
              </w:rPr>
              <w:t>- 5</w:t>
            </w: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22112000-8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default"/>
                <w:sz w:val="20"/>
                <w:szCs w:val="20"/>
                <w:lang w:val="hr-HR"/>
              </w:rPr>
              <w:t>800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>
              <w:rPr>
                <w:rFonts w:hint="default"/>
                <w:sz w:val="20"/>
                <w:szCs w:val="20"/>
                <w:lang w:val="hr-HR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/ 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 </w:t>
            </w:r>
            <w:r>
              <w:rPr>
                <w:sz w:val="20"/>
                <w:szCs w:val="20"/>
              </w:rPr>
              <w:t>21.</w:t>
            </w:r>
            <w:r>
              <w:rPr>
                <w:rFonts w:hint="default"/>
                <w:sz w:val="20"/>
                <w:szCs w:val="20"/>
                <w:lang w:val="hr-HR"/>
              </w:rPr>
              <w:t>000</w:t>
            </w:r>
            <w:r>
              <w:rPr>
                <w:sz w:val="20"/>
                <w:szCs w:val="20"/>
              </w:rPr>
              <w:t xml:space="preserve">,00 </w:t>
            </w:r>
            <w:r>
              <w:rPr>
                <w:rFonts w:hint="default"/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rFonts w:hint="default"/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</w:rPr>
              <w:t>1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30230000-0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hr-HR"/>
              </w:rPr>
              <w:t>6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default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5.600,00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Jednostavnanabava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/ narudžbenica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default"/>
                <w:sz w:val="20"/>
                <w:szCs w:val="20"/>
                <w:lang w:val="hr-HR"/>
              </w:rPr>
              <w:t>7.000,00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rFonts w:hint="default"/>
                <w:sz w:val="20"/>
                <w:szCs w:val="20"/>
                <w:lang w:val="hr-HR"/>
              </w:rPr>
              <w:t>61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Plan nabave se uklapa u Financijski plan za 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 godinu. Za nabavu energenata (lož ulje) postupak provodi osnivač - Grad Šibenik</w:t>
      </w:r>
      <w:r>
        <w:rPr>
          <w:rFonts w:hint="default"/>
          <w:sz w:val="22"/>
          <w:szCs w:val="22"/>
          <w:lang w:val="hr-HR"/>
        </w:rPr>
        <w:t>,kao i za odabir dobavljača za školsku prehranu.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 xml:space="preserve">Sredstva za realizaciju Plana nabave osiguravaju se iz proračuna osnivača Grada Šibenika (izvor 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>4</w:t>
      </w:r>
      <w:r>
        <w:rPr>
          <w:rFonts w:hint="default"/>
          <w:sz w:val="22"/>
          <w:szCs w:val="22"/>
          <w:lang w:val="hr-HR"/>
        </w:rPr>
        <w:t xml:space="preserve"> i 11</w:t>
      </w:r>
      <w:r>
        <w:rPr>
          <w:sz w:val="22"/>
          <w:szCs w:val="22"/>
        </w:rPr>
        <w:t xml:space="preserve">), državnog proračuna (izvor 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 xml:space="preserve">1), EU sredstava (izvor 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 xml:space="preserve">6), donacija (izvor </w:t>
      </w:r>
      <w:r>
        <w:rPr>
          <w:rFonts w:hint="default"/>
          <w:sz w:val="22"/>
          <w:szCs w:val="22"/>
          <w:lang w:val="hr-HR"/>
        </w:rPr>
        <w:t>6</w:t>
      </w:r>
      <w:r>
        <w:rPr>
          <w:sz w:val="22"/>
          <w:szCs w:val="22"/>
        </w:rPr>
        <w:t>1</w:t>
      </w:r>
      <w:r>
        <w:rPr>
          <w:rFonts w:hint="default"/>
          <w:sz w:val="22"/>
          <w:szCs w:val="22"/>
          <w:lang w:val="hr-HR"/>
        </w:rPr>
        <w:t>)</w:t>
      </w:r>
      <w:r>
        <w:rPr>
          <w:sz w:val="22"/>
          <w:szCs w:val="22"/>
        </w:rPr>
        <w:t xml:space="preserve">, iz vlastitih izvora (izvor </w:t>
      </w:r>
      <w:r>
        <w:rPr>
          <w:rFonts w:hint="default"/>
          <w:sz w:val="22"/>
          <w:szCs w:val="22"/>
          <w:lang w:val="hr-HR"/>
        </w:rPr>
        <w:t>31</w:t>
      </w:r>
      <w:bookmarkStart w:id="0" w:name="_GoBack"/>
      <w:bookmarkEnd w:id="0"/>
      <w:r>
        <w:rPr>
          <w:sz w:val="22"/>
          <w:szCs w:val="22"/>
        </w:rPr>
        <w:t xml:space="preserve">), te iz proračuna županije (izvor 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 xml:space="preserve">2).Ostali nespomenuti rashodi odnose se na  </w:t>
      </w:r>
      <w:r>
        <w:rPr>
          <w:rFonts w:hint="default"/>
          <w:sz w:val="22"/>
          <w:szCs w:val="22"/>
          <w:lang w:val="hr-HR"/>
        </w:rPr>
        <w:t>Državnu prehranu (izvor 51)</w:t>
      </w:r>
    </w:p>
    <w:p>
      <w:pPr>
        <w:rPr>
          <w:rFonts w:hint="default"/>
          <w:sz w:val="22"/>
          <w:szCs w:val="22"/>
          <w:lang w:val="hr-HR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Ravnateljica:</w:t>
      </w: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Maja Morić Kulušić,</w:t>
      </w:r>
      <w:r>
        <w:rPr>
          <w:rFonts w:hint="default"/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dipl.uč.</w:t>
      </w: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>
      <w:footerReference r:id="rId3" w:type="default"/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80554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D5"/>
    <w:rsid w:val="0004565B"/>
    <w:rsid w:val="00077CC4"/>
    <w:rsid w:val="000829FA"/>
    <w:rsid w:val="000C0184"/>
    <w:rsid w:val="000F0408"/>
    <w:rsid w:val="001036D5"/>
    <w:rsid w:val="00115099"/>
    <w:rsid w:val="00137E6B"/>
    <w:rsid w:val="00145FA3"/>
    <w:rsid w:val="00147BFF"/>
    <w:rsid w:val="00156D24"/>
    <w:rsid w:val="0015741E"/>
    <w:rsid w:val="001703C3"/>
    <w:rsid w:val="001A2704"/>
    <w:rsid w:val="001D3601"/>
    <w:rsid w:val="001D587E"/>
    <w:rsid w:val="001D760E"/>
    <w:rsid w:val="001E3D6D"/>
    <w:rsid w:val="001E5E70"/>
    <w:rsid w:val="002007AA"/>
    <w:rsid w:val="002045F2"/>
    <w:rsid w:val="00213240"/>
    <w:rsid w:val="00240BC5"/>
    <w:rsid w:val="002663A9"/>
    <w:rsid w:val="0028084C"/>
    <w:rsid w:val="002A5429"/>
    <w:rsid w:val="002B185F"/>
    <w:rsid w:val="00306F35"/>
    <w:rsid w:val="00312DC7"/>
    <w:rsid w:val="00314032"/>
    <w:rsid w:val="003530DA"/>
    <w:rsid w:val="00355423"/>
    <w:rsid w:val="00365123"/>
    <w:rsid w:val="00372F5E"/>
    <w:rsid w:val="003736C3"/>
    <w:rsid w:val="00376973"/>
    <w:rsid w:val="00390290"/>
    <w:rsid w:val="003940AA"/>
    <w:rsid w:val="003A72AF"/>
    <w:rsid w:val="003B0DD3"/>
    <w:rsid w:val="004134BC"/>
    <w:rsid w:val="004508C5"/>
    <w:rsid w:val="00464E41"/>
    <w:rsid w:val="004704CF"/>
    <w:rsid w:val="004A7E95"/>
    <w:rsid w:val="004C66B1"/>
    <w:rsid w:val="004D73B3"/>
    <w:rsid w:val="00527E47"/>
    <w:rsid w:val="0056094B"/>
    <w:rsid w:val="00560E1E"/>
    <w:rsid w:val="00566437"/>
    <w:rsid w:val="00580301"/>
    <w:rsid w:val="005922E2"/>
    <w:rsid w:val="005A1DFE"/>
    <w:rsid w:val="005A4C36"/>
    <w:rsid w:val="005B106D"/>
    <w:rsid w:val="005B5172"/>
    <w:rsid w:val="005C4990"/>
    <w:rsid w:val="005D2707"/>
    <w:rsid w:val="005D738C"/>
    <w:rsid w:val="005E2E77"/>
    <w:rsid w:val="005E3580"/>
    <w:rsid w:val="005E63BB"/>
    <w:rsid w:val="005F2016"/>
    <w:rsid w:val="00621224"/>
    <w:rsid w:val="00624D0F"/>
    <w:rsid w:val="00631451"/>
    <w:rsid w:val="00661F0F"/>
    <w:rsid w:val="006728FE"/>
    <w:rsid w:val="0067466F"/>
    <w:rsid w:val="006776A4"/>
    <w:rsid w:val="0068288C"/>
    <w:rsid w:val="006A020D"/>
    <w:rsid w:val="006B21C1"/>
    <w:rsid w:val="006B5FA0"/>
    <w:rsid w:val="006B7B8F"/>
    <w:rsid w:val="006D2215"/>
    <w:rsid w:val="006E2BA7"/>
    <w:rsid w:val="006E6A8A"/>
    <w:rsid w:val="00700B9B"/>
    <w:rsid w:val="007177B1"/>
    <w:rsid w:val="007259FC"/>
    <w:rsid w:val="00742B36"/>
    <w:rsid w:val="007809ED"/>
    <w:rsid w:val="00794EC3"/>
    <w:rsid w:val="00797B23"/>
    <w:rsid w:val="00797BB9"/>
    <w:rsid w:val="007A2B9D"/>
    <w:rsid w:val="007C641A"/>
    <w:rsid w:val="007C6722"/>
    <w:rsid w:val="007C74D3"/>
    <w:rsid w:val="007D2291"/>
    <w:rsid w:val="007D5861"/>
    <w:rsid w:val="007D586E"/>
    <w:rsid w:val="007E4014"/>
    <w:rsid w:val="007F5EBA"/>
    <w:rsid w:val="00800207"/>
    <w:rsid w:val="00815F35"/>
    <w:rsid w:val="00825303"/>
    <w:rsid w:val="008253CD"/>
    <w:rsid w:val="00871FC8"/>
    <w:rsid w:val="00876AC7"/>
    <w:rsid w:val="00897316"/>
    <w:rsid w:val="008B2807"/>
    <w:rsid w:val="008C74F6"/>
    <w:rsid w:val="008D4C5A"/>
    <w:rsid w:val="008F56CA"/>
    <w:rsid w:val="00941F19"/>
    <w:rsid w:val="00952458"/>
    <w:rsid w:val="00963592"/>
    <w:rsid w:val="009667B5"/>
    <w:rsid w:val="009962DA"/>
    <w:rsid w:val="009A7834"/>
    <w:rsid w:val="009C4E2E"/>
    <w:rsid w:val="009E5343"/>
    <w:rsid w:val="00A02F6D"/>
    <w:rsid w:val="00A4287E"/>
    <w:rsid w:val="00A43A8F"/>
    <w:rsid w:val="00A44F4B"/>
    <w:rsid w:val="00A637C1"/>
    <w:rsid w:val="00A81D92"/>
    <w:rsid w:val="00A83866"/>
    <w:rsid w:val="00A95540"/>
    <w:rsid w:val="00AA3A2A"/>
    <w:rsid w:val="00AC7A3B"/>
    <w:rsid w:val="00AE5092"/>
    <w:rsid w:val="00B12B88"/>
    <w:rsid w:val="00B800BC"/>
    <w:rsid w:val="00BA1906"/>
    <w:rsid w:val="00BB1B44"/>
    <w:rsid w:val="00C05B9E"/>
    <w:rsid w:val="00C236CE"/>
    <w:rsid w:val="00C24200"/>
    <w:rsid w:val="00C24BFF"/>
    <w:rsid w:val="00C25483"/>
    <w:rsid w:val="00C5578D"/>
    <w:rsid w:val="00C60367"/>
    <w:rsid w:val="00C73D9D"/>
    <w:rsid w:val="00CE3DF0"/>
    <w:rsid w:val="00D30DB6"/>
    <w:rsid w:val="00D311CB"/>
    <w:rsid w:val="00D537B7"/>
    <w:rsid w:val="00D726FD"/>
    <w:rsid w:val="00D96294"/>
    <w:rsid w:val="00DA261C"/>
    <w:rsid w:val="00DC3797"/>
    <w:rsid w:val="00DE7DE0"/>
    <w:rsid w:val="00E01E9D"/>
    <w:rsid w:val="00E07A63"/>
    <w:rsid w:val="00E14EF6"/>
    <w:rsid w:val="00E26023"/>
    <w:rsid w:val="00E328FF"/>
    <w:rsid w:val="00E3776A"/>
    <w:rsid w:val="00E51C63"/>
    <w:rsid w:val="00E57D04"/>
    <w:rsid w:val="00E66F51"/>
    <w:rsid w:val="00E845D2"/>
    <w:rsid w:val="00E84E9B"/>
    <w:rsid w:val="00EF6C81"/>
    <w:rsid w:val="00F00382"/>
    <w:rsid w:val="00F048B1"/>
    <w:rsid w:val="00F22F99"/>
    <w:rsid w:val="00F30DEE"/>
    <w:rsid w:val="00F50C97"/>
    <w:rsid w:val="00F66D8F"/>
    <w:rsid w:val="00F87929"/>
    <w:rsid w:val="00FD048C"/>
    <w:rsid w:val="00FE04FD"/>
    <w:rsid w:val="04800FC2"/>
    <w:rsid w:val="0EB665C8"/>
    <w:rsid w:val="128116AE"/>
    <w:rsid w:val="12C65AC7"/>
    <w:rsid w:val="14A62E22"/>
    <w:rsid w:val="1A1F5E5F"/>
    <w:rsid w:val="21867A05"/>
    <w:rsid w:val="311D33E8"/>
    <w:rsid w:val="3BB806A8"/>
    <w:rsid w:val="3F3442DA"/>
    <w:rsid w:val="41DD60C8"/>
    <w:rsid w:val="5AA0423B"/>
    <w:rsid w:val="7ADF55EA"/>
    <w:rsid w:val="7CE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b/>
      <w:bCs/>
      <w:color w:val="0000FF"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slov 1 Char"/>
    <w:basedOn w:val="3"/>
    <w:link w:val="2"/>
    <w:qFormat/>
    <w:uiPriority w:val="0"/>
    <w:rPr>
      <w:rFonts w:ascii="Times New Roman" w:hAnsi="Times New Roman" w:eastAsia="Times New Roman" w:cs="Times New Roman"/>
      <w:b/>
      <w:bCs/>
      <w:color w:val="0000FF"/>
      <w:sz w:val="32"/>
      <w:szCs w:val="24"/>
      <w:lang w:eastAsia="hr-HR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kst balončića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  <w:style w:type="character" w:customStyle="1" w:styleId="13">
    <w:name w:val="Zaglavl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7545-3BA3-49D8-B418-307A8FC0B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557</Words>
  <Characters>3175</Characters>
  <Lines>26</Lines>
  <Paragraphs>7</Paragraphs>
  <TotalTime>39</TotalTime>
  <ScaleCrop>false</ScaleCrop>
  <LinksUpToDate>false</LinksUpToDate>
  <CharactersWithSpaces>3725</CharactersWithSpaces>
  <Application>WPS Office_12.2.0.13359_F1E327BC-269C-435d-A152-05C5408002CA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2022-12-15T19:00:00Z</dcterms:created>
  <dc:creator>Tajnica</dc:creator>
  <cp:lastModifiedBy>Ana Cosic</cp:lastModifiedBy>
  <cp:lastPrinted>2022-01-17T12:18:00Z</cp:lastPrinted>
  <dcterms:modified xsi:type="dcterms:W3CDTF">2024-01-12T07:53:28Z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A28916C7164B47F3966C9A78CDBCA077</vt:lpwstr>
  </property>
  <property fmtid="{D5CDD505-2E9C-101B-9397-08002B2CF9AE}" pid="4" name="_DocHome">
    <vt:i4>164178713</vt:i4>
  </property>
</Properties>
</file>